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jc w:val="center"/>
        <w:rPr>
          <w:rFonts w:hint="eastAsia" w:ascii="宋体" w:hAnsi="宋体" w:eastAsia="宋体" w:cs="宋体"/>
          <w:b/>
          <w:sz w:val="32"/>
          <w:szCs w:val="32"/>
          <w:lang w:bidi="ar"/>
        </w:rPr>
      </w:pPr>
      <w:r>
        <w:rPr>
          <w:rFonts w:hint="eastAsia" w:ascii="宋体" w:hAnsi="宋体" w:eastAsia="宋体" w:cs="宋体"/>
          <w:b/>
          <w:sz w:val="32"/>
          <w:szCs w:val="32"/>
          <w:lang w:bidi="ar"/>
        </w:rPr>
        <w:t>灭火气瓶安全检测维保招标实施方案</w:t>
      </w:r>
    </w:p>
    <w:p>
      <w:pPr>
        <w:pStyle w:val="2"/>
        <w:spacing w:beforeAutospacing="0" w:afterAutospacing="0"/>
        <w:ind w:firstLine="560" w:firstLineChars="200"/>
        <w:rPr>
          <w:rFonts w:ascii="宋体" w:hAnsi="宋体" w:eastAsia="宋体" w:cs="宋体"/>
          <w:color w:val="666666"/>
          <w:sz w:val="28"/>
          <w:szCs w:val="28"/>
        </w:rPr>
      </w:pPr>
      <w:r>
        <w:rPr>
          <w:rFonts w:hint="eastAsia" w:ascii="宋体" w:hAnsi="宋体" w:eastAsia="宋体" w:cs="宋体"/>
          <w:color w:val="666666"/>
          <w:sz w:val="28"/>
          <w:szCs w:val="28"/>
        </w:rPr>
        <w:t>我院2018年度投入使用气体灭火系统中24只气瓶，七氟丙烷共计装量2662.00kg，根据国家《气瓶安全技术规范》要求，每3年应对气瓶进行检测，气瓶首次定期检验日期应当从气瓶制造日期起计算，我院的24只七氟丙烷气瓶已满3年，为了保证医院气体灭火的完好待用状态。现需要对24只七氟丙</w:t>
      </w:r>
      <w:bookmarkStart w:id="0" w:name="_GoBack"/>
      <w:bookmarkEnd w:id="0"/>
      <w:r>
        <w:rPr>
          <w:rFonts w:hint="eastAsia" w:ascii="宋体" w:hAnsi="宋体" w:eastAsia="宋体" w:cs="宋体"/>
          <w:color w:val="666666"/>
          <w:sz w:val="28"/>
          <w:szCs w:val="28"/>
        </w:rPr>
        <w:t>烷气瓶检测维护。为加强医院廉政建设，规范采购行为，提高采购效率，规避采购风险。实施公开询价采购，充分体现“择优选择、保证质量、廉价物美、经济实用”的原则，欢迎符合条件的维保单位参加投标，现将招标有关事项公告如下：</w:t>
      </w:r>
    </w:p>
    <w:p>
      <w:pPr>
        <w:pStyle w:val="2"/>
        <w:spacing w:beforeAutospacing="0" w:afterAutospacing="0"/>
        <w:ind w:firstLine="560" w:firstLineChars="200"/>
        <w:rPr>
          <w:rFonts w:ascii="宋体" w:hAnsi="宋体" w:eastAsia="宋体" w:cs="宋体"/>
          <w:color w:val="666666"/>
          <w:sz w:val="28"/>
          <w:szCs w:val="28"/>
        </w:rPr>
      </w:pPr>
    </w:p>
    <w:p>
      <w:pPr>
        <w:pStyle w:val="2"/>
        <w:spacing w:beforeAutospacing="0" w:afterAutospacing="0"/>
        <w:jc w:val="both"/>
        <w:rPr>
          <w:rFonts w:ascii="宋体" w:hAnsi="宋体" w:eastAsia="宋体" w:cs="宋体"/>
          <w:b/>
          <w:bCs/>
          <w:color w:val="666666"/>
          <w:sz w:val="28"/>
          <w:szCs w:val="28"/>
        </w:rPr>
      </w:pPr>
      <w:r>
        <w:rPr>
          <w:rFonts w:hint="eastAsia" w:ascii="宋体" w:hAnsi="宋体" w:eastAsia="宋体" w:cs="宋体"/>
          <w:b/>
          <w:bCs/>
          <w:color w:val="666666"/>
          <w:sz w:val="28"/>
          <w:szCs w:val="28"/>
        </w:rPr>
        <w:t>一、招标内容及期限</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1、招标内容：</w:t>
      </w:r>
      <w:r>
        <w:rPr>
          <w:rFonts w:hint="eastAsia" w:ascii="宋体" w:hAnsi="宋体" w:eastAsia="宋体" w:cs="宋体"/>
          <w:b/>
          <w:sz w:val="30"/>
          <w:szCs w:val="30"/>
          <w:lang w:bidi="ar"/>
        </w:rPr>
        <w:t>灭火气瓶安全检测维保</w:t>
      </w:r>
      <w:r>
        <w:rPr>
          <w:rFonts w:hint="eastAsia" w:ascii="宋体" w:hAnsi="宋体" w:eastAsia="宋体" w:cs="宋体"/>
          <w:color w:val="666666"/>
          <w:sz w:val="28"/>
          <w:szCs w:val="28"/>
        </w:rPr>
        <w:t>（详情</w:t>
      </w:r>
      <w:r>
        <w:rPr>
          <w:rFonts w:asciiTheme="minorEastAsia" w:hAnsiTheme="minorEastAsia"/>
          <w:color w:val="666666"/>
          <w:sz w:val="28"/>
          <w:szCs w:val="28"/>
        </w:rPr>
        <w:t>见附件）</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2、供货周期：一周，包含拆除运输、安装调试 </w:t>
      </w:r>
    </w:p>
    <w:p>
      <w:pPr>
        <w:pStyle w:val="2"/>
        <w:spacing w:beforeAutospacing="0" w:afterAutospacing="0"/>
        <w:jc w:val="both"/>
        <w:rPr>
          <w:rFonts w:ascii="宋体" w:hAnsi="宋体" w:eastAsia="宋体" w:cs="宋体"/>
          <w:color w:val="666666"/>
          <w:sz w:val="28"/>
          <w:szCs w:val="28"/>
        </w:rPr>
      </w:pPr>
    </w:p>
    <w:p>
      <w:pPr>
        <w:pStyle w:val="2"/>
        <w:spacing w:beforeAutospacing="0" w:afterAutospacing="0"/>
        <w:jc w:val="both"/>
        <w:rPr>
          <w:rFonts w:ascii="宋体" w:hAnsi="宋体" w:eastAsia="宋体" w:cs="宋体"/>
          <w:b/>
          <w:bCs/>
          <w:color w:val="666666"/>
          <w:sz w:val="28"/>
          <w:szCs w:val="28"/>
        </w:rPr>
      </w:pPr>
      <w:r>
        <w:rPr>
          <w:rFonts w:hint="eastAsia" w:ascii="宋体" w:hAnsi="宋体" w:eastAsia="宋体" w:cs="宋体"/>
          <w:b/>
          <w:bCs/>
          <w:color w:val="666666"/>
          <w:sz w:val="28"/>
          <w:szCs w:val="28"/>
        </w:rPr>
        <w:t>二、投标人资格要求</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一）投标人应具有投标项目的经营范围，请提供投标人合格有效的法人营业执照副本、税务登记证和组织代码证的复印件各一份、具备灭火气瓶检测资质且可出具消防管理认可的检测报告。（以上证件的复印件均须盖上单位公章）。</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二）投标代表必须经投标人的法定代表人关于参与本项目投标的授权，请提供法定代表人授权投标代表的授权委托书（投标代表是法定代表人无需），法定代表人和投标代表的身份证复印件一份（以上证件的复印件均须盖上单位公章）。</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（三）投标人应具备相关法律法规、行政规章条例中规定的参加招标采购活动的条件并应具备履行合同的能力。</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（四）投标文件递交方式：现场递交</w:t>
      </w:r>
    </w:p>
    <w:p>
      <w:pPr>
        <w:pStyle w:val="2"/>
        <w:spacing w:beforeAutospacing="0" w:afterAutospacing="0"/>
        <w:jc w:val="both"/>
        <w:rPr>
          <w:rFonts w:ascii="宋体" w:hAnsi="宋体" w:eastAsia="宋体" w:cs="宋体"/>
          <w:color w:val="666666"/>
          <w:sz w:val="28"/>
          <w:szCs w:val="28"/>
        </w:rPr>
      </w:pPr>
    </w:p>
    <w:p>
      <w:pPr>
        <w:pStyle w:val="2"/>
        <w:spacing w:beforeAutospacing="0" w:afterAutospacing="0"/>
        <w:jc w:val="both"/>
        <w:rPr>
          <w:rFonts w:ascii="宋体" w:hAnsi="宋体" w:eastAsia="宋体" w:cs="宋体"/>
          <w:b/>
          <w:bCs/>
          <w:color w:val="666666"/>
          <w:sz w:val="28"/>
          <w:szCs w:val="28"/>
        </w:rPr>
      </w:pPr>
      <w:r>
        <w:rPr>
          <w:rFonts w:hint="eastAsia" w:ascii="宋体" w:hAnsi="宋体" w:eastAsia="宋体" w:cs="宋体"/>
          <w:b/>
          <w:bCs/>
          <w:color w:val="666666"/>
          <w:sz w:val="28"/>
          <w:szCs w:val="28"/>
        </w:rPr>
        <w:t>三、报名时间：</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灵璧县人民医院网站（</w:t>
      </w:r>
      <w:r>
        <w:fldChar w:fldCharType="begin"/>
      </w:r>
      <w:r>
        <w:instrText xml:space="preserve"> HYPERLINK "http://www.lbxrmyy.com/" </w:instrText>
      </w:r>
      <w:r>
        <w:fldChar w:fldCharType="separate"/>
      </w:r>
      <w:r>
        <w:rPr>
          <w:rStyle w:val="6"/>
          <w:rFonts w:hint="eastAsia" w:ascii="宋体" w:hAnsi="宋体" w:eastAsia="宋体" w:cs="宋体"/>
          <w:color w:val="337FE5"/>
          <w:sz w:val="28"/>
          <w:szCs w:val="28"/>
        </w:rPr>
        <w:t>http://www.lbxrmyy.com</w:t>
      </w:r>
      <w:r>
        <w:rPr>
          <w:rStyle w:val="6"/>
          <w:rFonts w:hint="eastAsia" w:ascii="宋体" w:hAnsi="宋体" w:eastAsia="宋体" w:cs="宋体"/>
          <w:color w:val="337FE5"/>
          <w:sz w:val="28"/>
          <w:szCs w:val="28"/>
        </w:rPr>
        <w:fldChar w:fldCharType="end"/>
      </w:r>
      <w:r>
        <w:rPr>
          <w:rFonts w:hint="eastAsia" w:ascii="宋体" w:hAnsi="宋体" w:eastAsia="宋体" w:cs="宋体"/>
          <w:color w:val="666666"/>
          <w:sz w:val="28"/>
          <w:szCs w:val="28"/>
        </w:rPr>
        <w:t>）发布或者张贴招标公告即日起即可现场报名。</w:t>
      </w:r>
    </w:p>
    <w:p>
      <w:pPr>
        <w:pStyle w:val="2"/>
        <w:spacing w:beforeAutospacing="0" w:afterAutospacing="0"/>
        <w:jc w:val="both"/>
        <w:rPr>
          <w:rFonts w:ascii="宋体" w:hAnsi="宋体" w:eastAsia="宋体" w:cs="宋体"/>
          <w:color w:val="666666"/>
          <w:sz w:val="28"/>
          <w:szCs w:val="28"/>
        </w:rPr>
      </w:pPr>
    </w:p>
    <w:p>
      <w:pPr>
        <w:pStyle w:val="2"/>
        <w:spacing w:beforeAutospacing="0" w:afterAutospacing="0"/>
        <w:jc w:val="both"/>
        <w:rPr>
          <w:rFonts w:ascii="宋体" w:hAnsi="宋体" w:eastAsia="宋体" w:cs="宋体"/>
          <w:b/>
          <w:bCs/>
          <w:color w:val="666666"/>
          <w:sz w:val="28"/>
          <w:szCs w:val="28"/>
        </w:rPr>
      </w:pPr>
      <w:r>
        <w:rPr>
          <w:rFonts w:hint="eastAsia" w:ascii="宋体" w:hAnsi="宋体" w:eastAsia="宋体" w:cs="宋体"/>
          <w:b/>
          <w:bCs/>
          <w:color w:val="666666"/>
          <w:sz w:val="28"/>
          <w:szCs w:val="28"/>
        </w:rPr>
        <w:t>四、投标单位注意事项</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（一）我院提出的产品规格不允许随意变更，投标公司提供的报价清单上物品必须和医院所用及配件规格一致，并严格按照院方公示清单填报。</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（二）关于投标文件：</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1．投标文件需有公司简介、公司近年业绩情况（经营规模、供货厂家、相关资质等）。</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2．投标文件必须具有投标人资格要求中所需证件（法人营业执照副本、税务登记证和组织代码证的复印件各一份），并加盖公章。</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3．投标产品报价一览表，请投标人不要修改报价表格式，请按表格要求进行填报，未投标产品项请以“——”填空）。密封放在投标书里。以方便评标。</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4．开标当天请各投标公司提前将投标文件和相关附件封好后带至开标地点，并在封口处加盖投标公司的公章。</w:t>
      </w:r>
    </w:p>
    <w:p>
      <w:pPr>
        <w:rPr>
          <w:rFonts w:ascii="宋体" w:hAnsi="宋体" w:eastAsia="宋体" w:cs="宋体"/>
          <w:b/>
          <w:bCs/>
          <w:color w:val="666666"/>
          <w:sz w:val="28"/>
          <w:szCs w:val="28"/>
        </w:rPr>
      </w:pPr>
      <w:r>
        <w:rPr>
          <w:rFonts w:hint="eastAsia" w:ascii="宋体" w:hAnsi="宋体" w:eastAsia="宋体" w:cs="宋体"/>
          <w:b/>
          <w:bCs/>
          <w:color w:val="666666"/>
          <w:sz w:val="28"/>
          <w:szCs w:val="28"/>
        </w:rPr>
        <w:t>（四）所有中标商必须保障检测后的正常运行，并做到随叫随到。以保证灵璧县人民医院灭火气瓶正常使用。</w:t>
      </w:r>
    </w:p>
    <w:p>
      <w:pPr>
        <w:pStyle w:val="2"/>
        <w:spacing w:beforeAutospacing="0" w:afterAutospacing="0"/>
        <w:jc w:val="both"/>
        <w:rPr>
          <w:rFonts w:ascii="宋体" w:hAnsi="宋体" w:eastAsia="宋体" w:cs="宋体"/>
          <w:color w:val="666666"/>
          <w:sz w:val="28"/>
          <w:szCs w:val="28"/>
        </w:rPr>
      </w:pPr>
    </w:p>
    <w:p>
      <w:pPr>
        <w:pStyle w:val="2"/>
        <w:spacing w:beforeAutospacing="0" w:afterAutospacing="0"/>
        <w:jc w:val="both"/>
        <w:rPr>
          <w:rFonts w:ascii="宋体" w:hAnsi="宋体" w:eastAsia="宋体" w:cs="宋体"/>
          <w:b/>
          <w:bCs/>
          <w:color w:val="666666"/>
          <w:sz w:val="28"/>
          <w:szCs w:val="28"/>
        </w:rPr>
      </w:pPr>
      <w:r>
        <w:rPr>
          <w:rFonts w:hint="eastAsia" w:ascii="宋体" w:hAnsi="宋体" w:eastAsia="宋体" w:cs="宋体"/>
          <w:b/>
          <w:bCs/>
          <w:color w:val="666666"/>
          <w:sz w:val="28"/>
          <w:szCs w:val="28"/>
        </w:rPr>
        <w:t>五、评标、议价方法</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（一）评标、议价原则</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集中评标、议价应遵循公开、公平、公正、诚实信用和坚持质量优先、价格合理的原则。</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（二）评标、议价方式</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1、开标谈判地点设在灵璧县人民医院四楼院委会议室。时间为2022年2月24日下午3时。投标方应准时安排人员出席。</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2、招标方将根据相关规定组织</w:t>
      </w:r>
      <w:r>
        <w:rPr>
          <w:rFonts w:hint="eastAsia" w:ascii="宋体" w:hAnsi="宋体" w:eastAsia="宋体" w:cs="宋体"/>
          <w:sz w:val="30"/>
          <w:szCs w:val="30"/>
          <w:lang w:bidi="ar"/>
        </w:rPr>
        <w:t>灭火气瓶安全检测维保</w:t>
      </w:r>
      <w:r>
        <w:rPr>
          <w:rFonts w:hint="eastAsia" w:ascii="宋体" w:hAnsi="宋体" w:eastAsia="宋体" w:cs="宋体"/>
          <w:color w:val="666666"/>
          <w:sz w:val="28"/>
          <w:szCs w:val="28"/>
        </w:rPr>
        <w:t>评标委员会。</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3、评标委员会综合投标单位的信誉、业绩、产品质量、投标价格和服务承诺等因素评标。</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4、评标完毕后将评标意见上报医院，经医院领导班子讨论通过后再依法签订购销合同。</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5、中标方不得以任何形式向他人转让中标项目。</w:t>
      </w:r>
    </w:p>
    <w:p>
      <w:pPr>
        <w:pStyle w:val="2"/>
        <w:spacing w:beforeAutospacing="0" w:afterAutospacing="0"/>
        <w:jc w:val="both"/>
        <w:rPr>
          <w:rFonts w:ascii="宋体" w:hAnsi="宋体" w:eastAsia="宋体" w:cs="宋体"/>
          <w:color w:val="666666"/>
          <w:sz w:val="28"/>
          <w:szCs w:val="28"/>
        </w:rPr>
      </w:pPr>
      <w:r>
        <w:rPr>
          <w:rFonts w:hint="eastAsia" w:ascii="宋体" w:hAnsi="宋体" w:eastAsia="宋体" w:cs="宋体"/>
          <w:color w:val="666666"/>
          <w:sz w:val="28"/>
          <w:szCs w:val="28"/>
        </w:rPr>
        <w:t>6、中标方如有违约行为，合同终止。</w:t>
      </w:r>
    </w:p>
    <w:p>
      <w:pPr>
        <w:pStyle w:val="2"/>
        <w:spacing w:beforeAutospacing="0" w:afterAutospacing="0"/>
        <w:jc w:val="both"/>
        <w:rPr>
          <w:rFonts w:ascii="宋体" w:hAnsi="宋体" w:eastAsia="宋体" w:cs="宋体"/>
          <w:color w:val="666666"/>
          <w:sz w:val="28"/>
          <w:szCs w:val="28"/>
        </w:rPr>
      </w:pPr>
    </w:p>
    <w:p>
      <w:pPr>
        <w:pStyle w:val="2"/>
        <w:spacing w:beforeAutospacing="0" w:afterAutospacing="0"/>
        <w:jc w:val="both"/>
        <w:rPr>
          <w:rFonts w:ascii="宋体" w:hAnsi="宋体" w:eastAsia="宋体" w:cs="宋体"/>
          <w:color w:val="666666"/>
          <w:sz w:val="28"/>
          <w:szCs w:val="28"/>
        </w:rPr>
      </w:pPr>
    </w:p>
    <w:p>
      <w:pPr>
        <w:jc w:val="right"/>
        <w:rPr>
          <w:rFonts w:ascii="宋体" w:hAnsi="宋体" w:eastAsia="宋体" w:cs="宋体"/>
          <w:sz w:val="22"/>
          <w:szCs w:val="28"/>
        </w:rPr>
      </w:pPr>
      <w:r>
        <w:rPr>
          <w:rFonts w:hint="eastAsia" w:ascii="宋体" w:hAnsi="宋体" w:eastAsia="宋体" w:cs="宋体"/>
          <w:color w:val="666666"/>
          <w:sz w:val="22"/>
          <w:szCs w:val="28"/>
        </w:rPr>
        <w:t>灵璧县人民医院物资采购领导小组</w:t>
      </w:r>
    </w:p>
    <w:p>
      <w:pPr>
        <w:pStyle w:val="2"/>
        <w:wordWrap w:val="0"/>
        <w:spacing w:beforeAutospacing="0" w:afterAutospacing="0"/>
        <w:jc w:val="right"/>
        <w:rPr>
          <w:rFonts w:ascii="宋体" w:hAnsi="宋体" w:eastAsia="宋体" w:cs="宋体"/>
          <w:color w:val="666666"/>
          <w:sz w:val="28"/>
          <w:szCs w:val="28"/>
        </w:rPr>
      </w:pPr>
      <w:r>
        <w:rPr>
          <w:rFonts w:hint="eastAsia" w:ascii="宋体" w:hAnsi="宋体" w:eastAsia="宋体" w:cs="宋体"/>
          <w:color w:val="666666"/>
          <w:sz w:val="28"/>
          <w:szCs w:val="28"/>
        </w:rPr>
        <w:t xml:space="preserve">2022年2月21日   </w:t>
      </w:r>
    </w:p>
    <w:p>
      <w:pPr>
        <w:pStyle w:val="2"/>
        <w:spacing w:beforeAutospacing="0" w:afterAutospacing="0"/>
        <w:rPr>
          <w:rFonts w:ascii="宋体" w:hAnsi="宋体" w:eastAsia="宋体" w:cs="宋体"/>
          <w:color w:val="666666"/>
          <w:sz w:val="28"/>
          <w:szCs w:val="28"/>
        </w:rPr>
      </w:pPr>
      <w:r>
        <w:rPr>
          <w:rFonts w:hint="eastAsia" w:ascii="宋体" w:hAnsi="宋体" w:eastAsia="宋体" w:cs="宋体"/>
          <w:color w:val="666666"/>
          <w:sz w:val="28"/>
          <w:szCs w:val="28"/>
        </w:rPr>
        <w:t>附件：</w:t>
      </w:r>
    </w:p>
    <w:tbl>
      <w:tblPr>
        <w:tblStyle w:val="4"/>
        <w:tblpPr w:leftFromText="180" w:rightFromText="180" w:vertAnchor="text" w:horzAnchor="page" w:tblpX="1258" w:tblpY="621"/>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96"/>
        <w:gridCol w:w="1540"/>
        <w:gridCol w:w="770"/>
        <w:gridCol w:w="1390"/>
        <w:gridCol w:w="708"/>
        <w:gridCol w:w="56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序号</w:t>
            </w:r>
          </w:p>
        </w:tc>
        <w:tc>
          <w:tcPr>
            <w:tcW w:w="1796"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产品名称</w:t>
            </w:r>
          </w:p>
        </w:tc>
        <w:tc>
          <w:tcPr>
            <w:tcW w:w="1540"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型号/规格</w:t>
            </w:r>
          </w:p>
        </w:tc>
        <w:tc>
          <w:tcPr>
            <w:tcW w:w="770"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单位</w:t>
            </w:r>
          </w:p>
        </w:tc>
        <w:tc>
          <w:tcPr>
            <w:tcW w:w="1390"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数量</w:t>
            </w:r>
          </w:p>
        </w:tc>
        <w:tc>
          <w:tcPr>
            <w:tcW w:w="708"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单价</w:t>
            </w:r>
          </w:p>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（元）</w:t>
            </w:r>
          </w:p>
        </w:tc>
        <w:tc>
          <w:tcPr>
            <w:tcW w:w="567"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金额（元）</w:t>
            </w:r>
          </w:p>
        </w:tc>
        <w:tc>
          <w:tcPr>
            <w:tcW w:w="1459" w:type="dxa"/>
            <w:vAlign w:val="center"/>
          </w:tcPr>
          <w:p>
            <w:pPr>
              <w:pStyle w:val="2"/>
              <w:spacing w:beforeAutospacing="0" w:afterAutospacing="0"/>
              <w:jc w:val="center"/>
              <w:rPr>
                <w:rFonts w:ascii="宋体" w:hAnsi="宋体" w:eastAsia="宋体" w:cs="宋体"/>
                <w:color w:val="666666"/>
                <w:sz w:val="22"/>
                <w:szCs w:val="22"/>
              </w:rPr>
            </w:pPr>
            <w:r>
              <w:rPr>
                <w:rFonts w:hint="eastAsia" w:ascii="宋体" w:hAnsi="宋体" w:eastAsia="宋体" w:cs="宋体"/>
                <w:color w:val="666666"/>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1</w:t>
            </w:r>
          </w:p>
        </w:tc>
        <w:tc>
          <w:tcPr>
            <w:tcW w:w="1796" w:type="dxa"/>
            <w:vAlign w:val="center"/>
          </w:tcPr>
          <w:p>
            <w:pPr>
              <w:pStyle w:val="2"/>
              <w:spacing w:beforeAutospacing="0" w:afterAutospacing="0"/>
              <w:ind w:left="279" w:leftChars="133"/>
              <w:jc w:val="center"/>
              <w:rPr>
                <w:rFonts w:ascii="宋体" w:hAnsi="宋体" w:eastAsia="宋体" w:cs="宋体"/>
                <w:color w:val="666666"/>
                <w:sz w:val="28"/>
                <w:szCs w:val="28"/>
              </w:rPr>
            </w:pPr>
            <w:r>
              <w:rPr>
                <w:rFonts w:hint="eastAsia" w:ascii="宋体" w:hAnsi="宋体" w:eastAsia="宋体" w:cs="宋体"/>
                <w:color w:val="666666"/>
                <w:sz w:val="28"/>
                <w:szCs w:val="28"/>
              </w:rPr>
              <w:t>气瓶瓶底检测</w:t>
            </w:r>
          </w:p>
        </w:tc>
        <w:tc>
          <w:tcPr>
            <w:tcW w:w="1540"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150L/120L/90L/70L</w:t>
            </w:r>
          </w:p>
        </w:tc>
        <w:tc>
          <w:tcPr>
            <w:tcW w:w="770"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个</w:t>
            </w:r>
          </w:p>
        </w:tc>
        <w:tc>
          <w:tcPr>
            <w:tcW w:w="1390"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24</w:t>
            </w: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ascii="宋体" w:hAnsi="宋体" w:eastAsia="宋体" w:cs="宋体"/>
                <w:color w:val="666666"/>
                <w:sz w:val="28"/>
                <w:szCs w:val="28"/>
              </w:rPr>
            </w:pPr>
            <w:r>
              <w:rPr>
                <w:rFonts w:ascii="宋体" w:hAnsi="宋体" w:eastAsia="宋体" w:cs="宋体"/>
                <w:color w:val="666666"/>
                <w:sz w:val="28"/>
                <w:szCs w:val="28"/>
              </w:rPr>
              <w:t>无网管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2</w:t>
            </w:r>
          </w:p>
        </w:tc>
        <w:tc>
          <w:tcPr>
            <w:tcW w:w="1796"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容器阀检测</w:t>
            </w:r>
          </w:p>
        </w:tc>
        <w:tc>
          <w:tcPr>
            <w:tcW w:w="1540" w:type="dxa"/>
            <w:vAlign w:val="center"/>
          </w:tcPr>
          <w:p>
            <w:pPr>
              <w:pStyle w:val="2"/>
              <w:spacing w:beforeAutospacing="0" w:afterAutospacing="0"/>
              <w:jc w:val="center"/>
              <w:rPr>
                <w:rFonts w:ascii="宋体" w:hAnsi="宋体" w:eastAsia="宋体" w:cs="宋体"/>
                <w:color w:val="666666"/>
                <w:sz w:val="28"/>
                <w:szCs w:val="28"/>
              </w:rPr>
            </w:pP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24</w:t>
            </w: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rPr>
              <w:t>安全膜片、工作膜片全部更换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3</w:t>
            </w:r>
          </w:p>
        </w:tc>
        <w:tc>
          <w:tcPr>
            <w:tcW w:w="1796"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药剂增补</w:t>
            </w:r>
          </w:p>
        </w:tc>
        <w:tc>
          <w:tcPr>
            <w:tcW w:w="1540"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HFC-227ea</w:t>
            </w: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2662*0.3</w:t>
            </w: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hint="eastAsia" w:ascii="宋体" w:hAnsi="宋体" w:eastAsia="宋体" w:cs="宋体"/>
                <w:color w:val="666666"/>
              </w:rPr>
            </w:pPr>
            <w:r>
              <w:rPr>
                <w:rFonts w:hint="eastAsia" w:ascii="宋体" w:hAnsi="宋体" w:eastAsia="宋体" w:cs="宋体"/>
                <w:color w:val="666666"/>
              </w:rPr>
              <w:t>以实际增补为准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4</w:t>
            </w:r>
          </w:p>
        </w:tc>
        <w:tc>
          <w:tcPr>
            <w:tcW w:w="1796"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容器阀、电磁阀</w:t>
            </w:r>
          </w:p>
        </w:tc>
        <w:tc>
          <w:tcPr>
            <w:tcW w:w="1540" w:type="dxa"/>
            <w:vAlign w:val="center"/>
          </w:tcPr>
          <w:p>
            <w:pPr>
              <w:pStyle w:val="2"/>
              <w:spacing w:beforeAutospacing="0" w:afterAutospacing="0"/>
              <w:jc w:val="center"/>
              <w:rPr>
                <w:rFonts w:ascii="宋体" w:hAnsi="宋体" w:eastAsia="宋体" w:cs="宋体"/>
                <w:color w:val="666666"/>
                <w:sz w:val="28"/>
                <w:szCs w:val="28"/>
              </w:rPr>
            </w:pP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hint="eastAsia" w:ascii="宋体" w:hAnsi="宋体" w:eastAsia="宋体" w:cs="宋体"/>
                <w:color w:val="666666"/>
                <w:sz w:val="28"/>
                <w:szCs w:val="28"/>
              </w:rPr>
            </w:pP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hint="eastAsia" w:ascii="宋体" w:hAnsi="宋体" w:eastAsia="宋体" w:cs="宋体"/>
                <w:color w:val="666666"/>
              </w:rPr>
            </w:pPr>
            <w:r>
              <w:rPr>
                <w:rFonts w:hint="eastAsia" w:ascii="宋体" w:hAnsi="宋体" w:eastAsia="宋体" w:cs="宋体"/>
                <w:color w:val="666666"/>
              </w:rPr>
              <w:t>检测无损坏不收费用、更换收费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5</w:t>
            </w:r>
          </w:p>
        </w:tc>
        <w:tc>
          <w:tcPr>
            <w:tcW w:w="1796"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连接管</w:t>
            </w:r>
          </w:p>
        </w:tc>
        <w:tc>
          <w:tcPr>
            <w:tcW w:w="1540" w:type="dxa"/>
            <w:vAlign w:val="center"/>
          </w:tcPr>
          <w:p>
            <w:pPr>
              <w:pStyle w:val="2"/>
              <w:spacing w:beforeAutospacing="0" w:afterAutospacing="0"/>
              <w:jc w:val="center"/>
              <w:rPr>
                <w:rFonts w:ascii="宋体" w:hAnsi="宋体" w:eastAsia="宋体" w:cs="宋体"/>
                <w:color w:val="666666"/>
                <w:sz w:val="28"/>
                <w:szCs w:val="28"/>
              </w:rPr>
            </w:pP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hint="eastAsia" w:ascii="宋体" w:hAnsi="宋体" w:eastAsia="宋体" w:cs="宋体"/>
                <w:color w:val="666666"/>
                <w:sz w:val="28"/>
                <w:szCs w:val="28"/>
              </w:rPr>
            </w:pP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hint="eastAsia" w:ascii="宋体" w:hAnsi="宋体" w:eastAsia="宋体" w:cs="宋体"/>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6</w:t>
            </w:r>
          </w:p>
        </w:tc>
        <w:tc>
          <w:tcPr>
            <w:tcW w:w="1796"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信号反馈器</w:t>
            </w:r>
          </w:p>
        </w:tc>
        <w:tc>
          <w:tcPr>
            <w:tcW w:w="1540" w:type="dxa"/>
            <w:vAlign w:val="center"/>
          </w:tcPr>
          <w:p>
            <w:pPr>
              <w:pStyle w:val="2"/>
              <w:spacing w:beforeAutospacing="0" w:afterAutospacing="0"/>
              <w:jc w:val="center"/>
              <w:rPr>
                <w:rFonts w:ascii="宋体" w:hAnsi="宋体" w:eastAsia="宋体" w:cs="宋体"/>
                <w:color w:val="666666"/>
                <w:sz w:val="28"/>
                <w:szCs w:val="28"/>
              </w:rPr>
            </w:pP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hint="eastAsia" w:ascii="宋体" w:hAnsi="宋体" w:eastAsia="宋体" w:cs="宋体"/>
                <w:color w:val="666666"/>
                <w:sz w:val="28"/>
                <w:szCs w:val="28"/>
              </w:rPr>
            </w:pP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hint="eastAsia" w:ascii="宋体" w:hAnsi="宋体" w:eastAsia="宋体" w:cs="宋体"/>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7</w:t>
            </w:r>
          </w:p>
        </w:tc>
        <w:tc>
          <w:tcPr>
            <w:tcW w:w="1796" w:type="dxa"/>
            <w:vAlign w:val="center"/>
          </w:tcPr>
          <w:p>
            <w:pPr>
              <w:pStyle w:val="2"/>
              <w:spacing w:beforeAutospacing="0" w:afterAutospacing="0"/>
              <w:jc w:val="center"/>
              <w:rPr>
                <w:rFonts w:hint="eastAsia" w:ascii="宋体" w:hAnsi="宋体" w:eastAsia="宋体" w:cs="宋体"/>
                <w:color w:val="666666"/>
                <w:sz w:val="28"/>
                <w:szCs w:val="28"/>
              </w:rPr>
            </w:pPr>
            <w:r>
              <w:rPr>
                <w:rFonts w:hint="eastAsia" w:ascii="宋体" w:hAnsi="宋体" w:eastAsia="宋体" w:cs="宋体"/>
                <w:color w:val="666666"/>
                <w:sz w:val="28"/>
                <w:szCs w:val="28"/>
              </w:rPr>
              <w:t>拉杆/抱箍</w:t>
            </w:r>
          </w:p>
        </w:tc>
        <w:tc>
          <w:tcPr>
            <w:tcW w:w="1540" w:type="dxa"/>
            <w:vAlign w:val="center"/>
          </w:tcPr>
          <w:p>
            <w:pPr>
              <w:pStyle w:val="2"/>
              <w:spacing w:beforeAutospacing="0" w:afterAutospacing="0"/>
              <w:jc w:val="center"/>
              <w:rPr>
                <w:rFonts w:ascii="宋体" w:hAnsi="宋体" w:eastAsia="宋体" w:cs="宋体"/>
                <w:color w:val="666666"/>
                <w:sz w:val="28"/>
                <w:szCs w:val="28"/>
              </w:rPr>
            </w:pPr>
          </w:p>
        </w:tc>
        <w:tc>
          <w:tcPr>
            <w:tcW w:w="770" w:type="dxa"/>
            <w:vAlign w:val="center"/>
          </w:tcPr>
          <w:p>
            <w:pPr>
              <w:pStyle w:val="2"/>
              <w:spacing w:beforeAutospacing="0" w:afterAutospacing="0"/>
              <w:jc w:val="center"/>
              <w:rPr>
                <w:rFonts w:ascii="宋体" w:hAnsi="宋体" w:eastAsia="宋体" w:cs="宋体"/>
                <w:color w:val="666666"/>
                <w:sz w:val="28"/>
                <w:szCs w:val="28"/>
              </w:rPr>
            </w:pPr>
          </w:p>
        </w:tc>
        <w:tc>
          <w:tcPr>
            <w:tcW w:w="1390" w:type="dxa"/>
            <w:vAlign w:val="center"/>
          </w:tcPr>
          <w:p>
            <w:pPr>
              <w:pStyle w:val="2"/>
              <w:spacing w:beforeAutospacing="0" w:afterAutospacing="0"/>
              <w:jc w:val="center"/>
              <w:rPr>
                <w:rFonts w:hint="eastAsia" w:ascii="宋体" w:hAnsi="宋体" w:eastAsia="宋体" w:cs="宋体"/>
                <w:color w:val="666666"/>
                <w:sz w:val="28"/>
                <w:szCs w:val="28"/>
              </w:rPr>
            </w:pPr>
          </w:p>
        </w:tc>
        <w:tc>
          <w:tcPr>
            <w:tcW w:w="708" w:type="dxa"/>
            <w:vAlign w:val="center"/>
          </w:tcPr>
          <w:p>
            <w:pPr>
              <w:pStyle w:val="2"/>
              <w:spacing w:beforeAutospacing="0" w:afterAutospacing="0"/>
              <w:jc w:val="center"/>
              <w:rPr>
                <w:rFonts w:ascii="宋体" w:hAnsi="宋体" w:eastAsia="宋体" w:cs="宋体"/>
                <w:color w:val="666666"/>
                <w:sz w:val="28"/>
                <w:szCs w:val="28"/>
              </w:rPr>
            </w:pPr>
          </w:p>
        </w:tc>
        <w:tc>
          <w:tcPr>
            <w:tcW w:w="567" w:type="dxa"/>
            <w:vAlign w:val="center"/>
          </w:tcPr>
          <w:p>
            <w:pPr>
              <w:pStyle w:val="2"/>
              <w:spacing w:beforeAutospacing="0" w:afterAutospacing="0"/>
              <w:jc w:val="center"/>
              <w:rPr>
                <w:rFonts w:ascii="宋体" w:hAnsi="宋体" w:eastAsia="宋体" w:cs="宋体"/>
                <w:color w:val="666666"/>
                <w:sz w:val="28"/>
                <w:szCs w:val="28"/>
              </w:rPr>
            </w:pPr>
          </w:p>
        </w:tc>
        <w:tc>
          <w:tcPr>
            <w:tcW w:w="1459" w:type="dxa"/>
            <w:vAlign w:val="center"/>
          </w:tcPr>
          <w:p>
            <w:pPr>
              <w:pStyle w:val="2"/>
              <w:spacing w:beforeAutospacing="0" w:afterAutospacing="0"/>
              <w:jc w:val="center"/>
              <w:rPr>
                <w:rFonts w:hint="eastAsia" w:ascii="宋体" w:hAnsi="宋体" w:eastAsia="宋体" w:cs="宋体"/>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8</w:t>
            </w:r>
          </w:p>
        </w:tc>
        <w:tc>
          <w:tcPr>
            <w:tcW w:w="6204" w:type="dxa"/>
            <w:gridSpan w:val="5"/>
            <w:vAlign w:val="center"/>
          </w:tcPr>
          <w:p>
            <w:pPr>
              <w:pStyle w:val="2"/>
              <w:spacing w:beforeAutospacing="0" w:afterAutospacing="0"/>
              <w:jc w:val="center"/>
              <w:rPr>
                <w:rFonts w:ascii="宋体" w:hAnsi="宋体" w:eastAsia="宋体" w:cs="宋体"/>
                <w:color w:val="666666"/>
                <w:sz w:val="28"/>
                <w:szCs w:val="28"/>
              </w:rPr>
            </w:pPr>
            <w:r>
              <w:rPr>
                <w:rFonts w:hint="eastAsia" w:ascii="宋体" w:hAnsi="宋体" w:eastAsia="宋体" w:cs="宋体"/>
                <w:color w:val="666666"/>
                <w:sz w:val="28"/>
                <w:szCs w:val="28"/>
              </w:rPr>
              <w:t>合计：</w:t>
            </w:r>
          </w:p>
        </w:tc>
        <w:tc>
          <w:tcPr>
            <w:tcW w:w="2026" w:type="dxa"/>
            <w:gridSpan w:val="2"/>
            <w:vAlign w:val="center"/>
          </w:tcPr>
          <w:p>
            <w:pPr>
              <w:pStyle w:val="2"/>
              <w:spacing w:beforeAutospacing="0" w:afterAutospacing="0"/>
              <w:jc w:val="center"/>
              <w:rPr>
                <w:rFonts w:ascii="宋体" w:hAnsi="宋体" w:eastAsia="宋体" w:cs="宋体"/>
                <w:color w:val="666666"/>
                <w:sz w:val="28"/>
                <w:szCs w:val="28"/>
              </w:rPr>
            </w:pPr>
          </w:p>
        </w:tc>
      </w:tr>
    </w:tbl>
    <w:p>
      <w:pPr>
        <w:pStyle w:val="2"/>
        <w:spacing w:beforeAutospacing="0" w:afterAutospacing="0"/>
        <w:rPr>
          <w:rFonts w:ascii="宋体" w:hAnsi="宋体" w:eastAsia="宋体" w:cs="宋体"/>
          <w:color w:val="666666"/>
          <w:sz w:val="28"/>
          <w:szCs w:val="28"/>
        </w:rPr>
      </w:pPr>
      <w:r>
        <w:rPr>
          <w:rFonts w:hint="eastAsia" w:ascii="宋体" w:hAnsi="宋体" w:eastAsia="宋体" w:cs="宋体"/>
          <w:color w:val="666666"/>
          <w:sz w:val="28"/>
          <w:szCs w:val="28"/>
        </w:rPr>
        <w:t xml:space="preserve">备注： 1、 以上报价含税票.含拆除、运输、安装、调试等一切费。      </w:t>
      </w:r>
    </w:p>
    <w:p>
      <w:pPr>
        <w:pStyle w:val="2"/>
        <w:spacing w:beforeAutospacing="0" w:afterAutospacing="0"/>
        <w:rPr>
          <w:rFonts w:hint="eastAsia" w:ascii="宋体" w:hAnsi="宋体" w:eastAsia="宋体" w:cs="宋体"/>
          <w:color w:val="666666"/>
          <w:sz w:val="28"/>
          <w:szCs w:val="28"/>
        </w:rPr>
      </w:pPr>
      <w:r>
        <w:rPr>
          <w:rFonts w:hint="eastAsia" w:ascii="宋体" w:hAnsi="宋体" w:eastAsia="宋体" w:cs="宋体"/>
          <w:color w:val="666666"/>
          <w:sz w:val="28"/>
          <w:szCs w:val="28"/>
        </w:rPr>
        <w:t>2、以上所有设备及配件需经过相关检测后确定是否可以正常使用，若维保项目产品或配件检测合格，不需进行更换不收取对应零配件费用。</w:t>
      </w:r>
    </w:p>
    <w:p>
      <w:pPr>
        <w:pStyle w:val="2"/>
        <w:spacing w:beforeAutospacing="0" w:afterAutospacing="0"/>
        <w:rPr>
          <w:rFonts w:ascii="宋体" w:hAnsi="宋体" w:eastAsia="宋体" w:cs="宋体"/>
          <w:color w:val="666666"/>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B552B"/>
    <w:rsid w:val="002861E5"/>
    <w:rsid w:val="00312078"/>
    <w:rsid w:val="005A5CD9"/>
    <w:rsid w:val="007961AC"/>
    <w:rsid w:val="0092670B"/>
    <w:rsid w:val="015230DD"/>
    <w:rsid w:val="01F56CD3"/>
    <w:rsid w:val="022E36A2"/>
    <w:rsid w:val="024A675F"/>
    <w:rsid w:val="024E3012"/>
    <w:rsid w:val="028700AA"/>
    <w:rsid w:val="030858D6"/>
    <w:rsid w:val="03317D37"/>
    <w:rsid w:val="034578F6"/>
    <w:rsid w:val="036A2D7E"/>
    <w:rsid w:val="039E5800"/>
    <w:rsid w:val="03B56144"/>
    <w:rsid w:val="03B877D9"/>
    <w:rsid w:val="043703FF"/>
    <w:rsid w:val="047647E8"/>
    <w:rsid w:val="04911327"/>
    <w:rsid w:val="04A540E2"/>
    <w:rsid w:val="04C51C58"/>
    <w:rsid w:val="04CB706D"/>
    <w:rsid w:val="050213EA"/>
    <w:rsid w:val="051557AE"/>
    <w:rsid w:val="054A4F4C"/>
    <w:rsid w:val="05554827"/>
    <w:rsid w:val="05D96C82"/>
    <w:rsid w:val="05FC08BE"/>
    <w:rsid w:val="062E0BAD"/>
    <w:rsid w:val="06774A57"/>
    <w:rsid w:val="068670DD"/>
    <w:rsid w:val="0692649E"/>
    <w:rsid w:val="06AE2B61"/>
    <w:rsid w:val="06BB594D"/>
    <w:rsid w:val="06DA0F52"/>
    <w:rsid w:val="07116533"/>
    <w:rsid w:val="073F4C3E"/>
    <w:rsid w:val="07405357"/>
    <w:rsid w:val="076173D5"/>
    <w:rsid w:val="077E273A"/>
    <w:rsid w:val="079B3EDD"/>
    <w:rsid w:val="08843354"/>
    <w:rsid w:val="08C7185C"/>
    <w:rsid w:val="09332917"/>
    <w:rsid w:val="0941262E"/>
    <w:rsid w:val="0955065C"/>
    <w:rsid w:val="0A0E3A69"/>
    <w:rsid w:val="0A234510"/>
    <w:rsid w:val="0A580070"/>
    <w:rsid w:val="0A765A2E"/>
    <w:rsid w:val="0AFB1008"/>
    <w:rsid w:val="0B0165AE"/>
    <w:rsid w:val="0B0B4291"/>
    <w:rsid w:val="0B1009C7"/>
    <w:rsid w:val="0BAC5330"/>
    <w:rsid w:val="0BB1148B"/>
    <w:rsid w:val="0C0546A1"/>
    <w:rsid w:val="0C2D5B1A"/>
    <w:rsid w:val="0C8951E5"/>
    <w:rsid w:val="0CF64254"/>
    <w:rsid w:val="0D145B71"/>
    <w:rsid w:val="0D310EED"/>
    <w:rsid w:val="0D7F61EA"/>
    <w:rsid w:val="0D876540"/>
    <w:rsid w:val="0DEB5A35"/>
    <w:rsid w:val="0E4024C8"/>
    <w:rsid w:val="0E470E3F"/>
    <w:rsid w:val="0E5F4B3B"/>
    <w:rsid w:val="0EA54DC5"/>
    <w:rsid w:val="0EC17841"/>
    <w:rsid w:val="0F180183"/>
    <w:rsid w:val="0F271DFA"/>
    <w:rsid w:val="0F286904"/>
    <w:rsid w:val="0F3539A7"/>
    <w:rsid w:val="0F8643D2"/>
    <w:rsid w:val="0FC747B8"/>
    <w:rsid w:val="0FC7605C"/>
    <w:rsid w:val="0FC80D52"/>
    <w:rsid w:val="0FD439B1"/>
    <w:rsid w:val="0FF24A97"/>
    <w:rsid w:val="10875B66"/>
    <w:rsid w:val="108A45EB"/>
    <w:rsid w:val="10957618"/>
    <w:rsid w:val="10C00D95"/>
    <w:rsid w:val="10E9010F"/>
    <w:rsid w:val="11275161"/>
    <w:rsid w:val="115C20D7"/>
    <w:rsid w:val="117F32A9"/>
    <w:rsid w:val="11875499"/>
    <w:rsid w:val="11B31E79"/>
    <w:rsid w:val="11B63594"/>
    <w:rsid w:val="11DB2538"/>
    <w:rsid w:val="120D3D57"/>
    <w:rsid w:val="125102D0"/>
    <w:rsid w:val="12A65E2E"/>
    <w:rsid w:val="12C66F8F"/>
    <w:rsid w:val="12F11425"/>
    <w:rsid w:val="132F58AB"/>
    <w:rsid w:val="13690FB7"/>
    <w:rsid w:val="139013E0"/>
    <w:rsid w:val="14282963"/>
    <w:rsid w:val="14646C9A"/>
    <w:rsid w:val="149E3F49"/>
    <w:rsid w:val="14C65527"/>
    <w:rsid w:val="157C6A61"/>
    <w:rsid w:val="1585503E"/>
    <w:rsid w:val="15BF2A79"/>
    <w:rsid w:val="15D52BC7"/>
    <w:rsid w:val="15EF5308"/>
    <w:rsid w:val="161D2F50"/>
    <w:rsid w:val="16432498"/>
    <w:rsid w:val="16481D5B"/>
    <w:rsid w:val="165F7135"/>
    <w:rsid w:val="16890CE6"/>
    <w:rsid w:val="16EA1D21"/>
    <w:rsid w:val="16F271D9"/>
    <w:rsid w:val="178626EB"/>
    <w:rsid w:val="17C56DEC"/>
    <w:rsid w:val="184C08B6"/>
    <w:rsid w:val="1855221C"/>
    <w:rsid w:val="185F6AA4"/>
    <w:rsid w:val="18B57ED3"/>
    <w:rsid w:val="190C6A9F"/>
    <w:rsid w:val="19644117"/>
    <w:rsid w:val="19B120FE"/>
    <w:rsid w:val="1A7635EF"/>
    <w:rsid w:val="1A910752"/>
    <w:rsid w:val="1A9B5F2E"/>
    <w:rsid w:val="1AEB70B0"/>
    <w:rsid w:val="1AF15CBC"/>
    <w:rsid w:val="1B7E10C6"/>
    <w:rsid w:val="1C580016"/>
    <w:rsid w:val="1C732021"/>
    <w:rsid w:val="1C7D38E2"/>
    <w:rsid w:val="1C912F06"/>
    <w:rsid w:val="1CAD0DC5"/>
    <w:rsid w:val="1D037A63"/>
    <w:rsid w:val="1D667636"/>
    <w:rsid w:val="1D985C21"/>
    <w:rsid w:val="1E6A03A6"/>
    <w:rsid w:val="1E707943"/>
    <w:rsid w:val="1EA76264"/>
    <w:rsid w:val="1EA97F70"/>
    <w:rsid w:val="1F37424C"/>
    <w:rsid w:val="1F4C0505"/>
    <w:rsid w:val="1F7243E6"/>
    <w:rsid w:val="1F7E6420"/>
    <w:rsid w:val="1FB73E6A"/>
    <w:rsid w:val="1FDB0DCF"/>
    <w:rsid w:val="1FE17142"/>
    <w:rsid w:val="2048434A"/>
    <w:rsid w:val="20555502"/>
    <w:rsid w:val="205D2173"/>
    <w:rsid w:val="20771385"/>
    <w:rsid w:val="20931127"/>
    <w:rsid w:val="20EB242A"/>
    <w:rsid w:val="21416B14"/>
    <w:rsid w:val="21423700"/>
    <w:rsid w:val="216F1251"/>
    <w:rsid w:val="21773A3E"/>
    <w:rsid w:val="21826C21"/>
    <w:rsid w:val="21947F33"/>
    <w:rsid w:val="21C62A3F"/>
    <w:rsid w:val="221B5DFB"/>
    <w:rsid w:val="224E4F3D"/>
    <w:rsid w:val="227E1432"/>
    <w:rsid w:val="22AB4688"/>
    <w:rsid w:val="22BB5BFF"/>
    <w:rsid w:val="22F02A5E"/>
    <w:rsid w:val="230B70D6"/>
    <w:rsid w:val="236B44B8"/>
    <w:rsid w:val="237D3BC7"/>
    <w:rsid w:val="23B23EA0"/>
    <w:rsid w:val="23BC7CDD"/>
    <w:rsid w:val="248C1B71"/>
    <w:rsid w:val="24EB219E"/>
    <w:rsid w:val="24F055C6"/>
    <w:rsid w:val="2510432C"/>
    <w:rsid w:val="256D7077"/>
    <w:rsid w:val="2588757B"/>
    <w:rsid w:val="259707F3"/>
    <w:rsid w:val="25C40169"/>
    <w:rsid w:val="25FD4D58"/>
    <w:rsid w:val="26005704"/>
    <w:rsid w:val="268347B4"/>
    <w:rsid w:val="26CC6D46"/>
    <w:rsid w:val="26FA2E8B"/>
    <w:rsid w:val="270C7E79"/>
    <w:rsid w:val="271B71A5"/>
    <w:rsid w:val="27216228"/>
    <w:rsid w:val="27661532"/>
    <w:rsid w:val="277E2B8D"/>
    <w:rsid w:val="27993477"/>
    <w:rsid w:val="27CD538D"/>
    <w:rsid w:val="27CF3ED4"/>
    <w:rsid w:val="280A7263"/>
    <w:rsid w:val="283A2CC7"/>
    <w:rsid w:val="283F1477"/>
    <w:rsid w:val="28667743"/>
    <w:rsid w:val="287F45F1"/>
    <w:rsid w:val="28A023D2"/>
    <w:rsid w:val="28A3277B"/>
    <w:rsid w:val="28A51C79"/>
    <w:rsid w:val="28D36A9F"/>
    <w:rsid w:val="294C02EA"/>
    <w:rsid w:val="296D6126"/>
    <w:rsid w:val="299B7C13"/>
    <w:rsid w:val="2A721F54"/>
    <w:rsid w:val="2ADC4E0B"/>
    <w:rsid w:val="2AEB1809"/>
    <w:rsid w:val="2AFA00D7"/>
    <w:rsid w:val="2AFA0B9A"/>
    <w:rsid w:val="2B0334FE"/>
    <w:rsid w:val="2B110D06"/>
    <w:rsid w:val="2B1960D7"/>
    <w:rsid w:val="2B5F4A9A"/>
    <w:rsid w:val="2B635040"/>
    <w:rsid w:val="2B8649C2"/>
    <w:rsid w:val="2B87721D"/>
    <w:rsid w:val="2BB83D45"/>
    <w:rsid w:val="2C093C50"/>
    <w:rsid w:val="2C1755EA"/>
    <w:rsid w:val="2C34234F"/>
    <w:rsid w:val="2CE94B5E"/>
    <w:rsid w:val="2CEB3B8F"/>
    <w:rsid w:val="2D0E076A"/>
    <w:rsid w:val="2D146DBE"/>
    <w:rsid w:val="2D4867DA"/>
    <w:rsid w:val="2D9B23CE"/>
    <w:rsid w:val="2DB5589E"/>
    <w:rsid w:val="2DC86F56"/>
    <w:rsid w:val="2E480180"/>
    <w:rsid w:val="2EB51A2B"/>
    <w:rsid w:val="2EC4151D"/>
    <w:rsid w:val="2EFE6B8A"/>
    <w:rsid w:val="2F450A50"/>
    <w:rsid w:val="2F816735"/>
    <w:rsid w:val="30103DCB"/>
    <w:rsid w:val="30214916"/>
    <w:rsid w:val="306D5F30"/>
    <w:rsid w:val="307E1C31"/>
    <w:rsid w:val="31186491"/>
    <w:rsid w:val="31A962C8"/>
    <w:rsid w:val="31B9034B"/>
    <w:rsid w:val="31D00FD4"/>
    <w:rsid w:val="31E677AF"/>
    <w:rsid w:val="31FB734D"/>
    <w:rsid w:val="326D2970"/>
    <w:rsid w:val="32F26E20"/>
    <w:rsid w:val="331952BB"/>
    <w:rsid w:val="334B5E21"/>
    <w:rsid w:val="33896774"/>
    <w:rsid w:val="33B14008"/>
    <w:rsid w:val="33B4787A"/>
    <w:rsid w:val="33B8520B"/>
    <w:rsid w:val="341B5D37"/>
    <w:rsid w:val="342D4569"/>
    <w:rsid w:val="348938C9"/>
    <w:rsid w:val="349243DA"/>
    <w:rsid w:val="34B2749A"/>
    <w:rsid w:val="34C03F63"/>
    <w:rsid w:val="35037B80"/>
    <w:rsid w:val="353D74C0"/>
    <w:rsid w:val="35C25949"/>
    <w:rsid w:val="36067FA1"/>
    <w:rsid w:val="36D666EA"/>
    <w:rsid w:val="36F93930"/>
    <w:rsid w:val="37587663"/>
    <w:rsid w:val="37B158EE"/>
    <w:rsid w:val="37F34C47"/>
    <w:rsid w:val="386C7401"/>
    <w:rsid w:val="389B5FF4"/>
    <w:rsid w:val="38CF4493"/>
    <w:rsid w:val="39042368"/>
    <w:rsid w:val="39115E2A"/>
    <w:rsid w:val="391A25E2"/>
    <w:rsid w:val="392D0855"/>
    <w:rsid w:val="39325DFF"/>
    <w:rsid w:val="397771C6"/>
    <w:rsid w:val="397C2F58"/>
    <w:rsid w:val="39E04343"/>
    <w:rsid w:val="39EF6DE7"/>
    <w:rsid w:val="3A14319C"/>
    <w:rsid w:val="3A6C605D"/>
    <w:rsid w:val="3A77502C"/>
    <w:rsid w:val="3ADB66B6"/>
    <w:rsid w:val="3B2916C7"/>
    <w:rsid w:val="3B695468"/>
    <w:rsid w:val="3B814A16"/>
    <w:rsid w:val="3BAC4C69"/>
    <w:rsid w:val="3BB51F8F"/>
    <w:rsid w:val="3BDF473F"/>
    <w:rsid w:val="3C4A5C40"/>
    <w:rsid w:val="3C856123"/>
    <w:rsid w:val="3CB5425F"/>
    <w:rsid w:val="3CB61689"/>
    <w:rsid w:val="3CDA5145"/>
    <w:rsid w:val="3D2C36EB"/>
    <w:rsid w:val="3D387791"/>
    <w:rsid w:val="3D955222"/>
    <w:rsid w:val="3DA50DED"/>
    <w:rsid w:val="3DCF33C1"/>
    <w:rsid w:val="3E102508"/>
    <w:rsid w:val="3E3B3D27"/>
    <w:rsid w:val="3E4A34EE"/>
    <w:rsid w:val="3E5825F3"/>
    <w:rsid w:val="3E6C2C4C"/>
    <w:rsid w:val="3EBD3E8F"/>
    <w:rsid w:val="3EED7A74"/>
    <w:rsid w:val="3F447A90"/>
    <w:rsid w:val="3F4679AB"/>
    <w:rsid w:val="3FB96284"/>
    <w:rsid w:val="40071332"/>
    <w:rsid w:val="403F1379"/>
    <w:rsid w:val="40670600"/>
    <w:rsid w:val="40A46B4A"/>
    <w:rsid w:val="40CC1504"/>
    <w:rsid w:val="40D3711F"/>
    <w:rsid w:val="41601E3E"/>
    <w:rsid w:val="41A8743B"/>
    <w:rsid w:val="42013BB4"/>
    <w:rsid w:val="420B4DAA"/>
    <w:rsid w:val="422E56E7"/>
    <w:rsid w:val="42B44D98"/>
    <w:rsid w:val="42D9275F"/>
    <w:rsid w:val="42E84B6B"/>
    <w:rsid w:val="434B68F5"/>
    <w:rsid w:val="43547857"/>
    <w:rsid w:val="4363632C"/>
    <w:rsid w:val="43E86EE0"/>
    <w:rsid w:val="43F44EBF"/>
    <w:rsid w:val="441864B2"/>
    <w:rsid w:val="441E4C3D"/>
    <w:rsid w:val="44B75764"/>
    <w:rsid w:val="452072FF"/>
    <w:rsid w:val="456275F0"/>
    <w:rsid w:val="457B3CE9"/>
    <w:rsid w:val="457E7FE6"/>
    <w:rsid w:val="45DE7817"/>
    <w:rsid w:val="45F24D9E"/>
    <w:rsid w:val="462C0F9E"/>
    <w:rsid w:val="466F2A4D"/>
    <w:rsid w:val="46A74D85"/>
    <w:rsid w:val="46A9449D"/>
    <w:rsid w:val="46BA24E1"/>
    <w:rsid w:val="47083EEB"/>
    <w:rsid w:val="47083F6F"/>
    <w:rsid w:val="47085881"/>
    <w:rsid w:val="47254D81"/>
    <w:rsid w:val="475632CC"/>
    <w:rsid w:val="47755BB6"/>
    <w:rsid w:val="47FF40FE"/>
    <w:rsid w:val="480D7C89"/>
    <w:rsid w:val="488F3B89"/>
    <w:rsid w:val="48A92788"/>
    <w:rsid w:val="48B20DDF"/>
    <w:rsid w:val="48F7697D"/>
    <w:rsid w:val="49006586"/>
    <w:rsid w:val="49DD0D77"/>
    <w:rsid w:val="49F056B6"/>
    <w:rsid w:val="4A23534E"/>
    <w:rsid w:val="4A5E7E1B"/>
    <w:rsid w:val="4A76583F"/>
    <w:rsid w:val="4B082B9D"/>
    <w:rsid w:val="4B1373CF"/>
    <w:rsid w:val="4B446B54"/>
    <w:rsid w:val="4B7321E4"/>
    <w:rsid w:val="4B8A5A6F"/>
    <w:rsid w:val="4BFF7BAB"/>
    <w:rsid w:val="4C2761DD"/>
    <w:rsid w:val="4C292D9F"/>
    <w:rsid w:val="4C310C70"/>
    <w:rsid w:val="4C3E1943"/>
    <w:rsid w:val="4C3E7CEB"/>
    <w:rsid w:val="4CCC7E78"/>
    <w:rsid w:val="4D145EDE"/>
    <w:rsid w:val="4D7D7BD2"/>
    <w:rsid w:val="4D87743B"/>
    <w:rsid w:val="4DAD60F0"/>
    <w:rsid w:val="4E0279E1"/>
    <w:rsid w:val="4E48073E"/>
    <w:rsid w:val="4E6A579F"/>
    <w:rsid w:val="4EAE4268"/>
    <w:rsid w:val="4ED42D8C"/>
    <w:rsid w:val="4F7919B2"/>
    <w:rsid w:val="503D1C64"/>
    <w:rsid w:val="50D065A6"/>
    <w:rsid w:val="50F94D7A"/>
    <w:rsid w:val="51067369"/>
    <w:rsid w:val="513D1CC0"/>
    <w:rsid w:val="514B5CF2"/>
    <w:rsid w:val="516C3A33"/>
    <w:rsid w:val="51D33FA2"/>
    <w:rsid w:val="51F277C1"/>
    <w:rsid w:val="51FF4702"/>
    <w:rsid w:val="523676EC"/>
    <w:rsid w:val="523C1A13"/>
    <w:rsid w:val="52635F94"/>
    <w:rsid w:val="52637C03"/>
    <w:rsid w:val="5271111A"/>
    <w:rsid w:val="52CD4557"/>
    <w:rsid w:val="52D6271B"/>
    <w:rsid w:val="52E327B4"/>
    <w:rsid w:val="53094A30"/>
    <w:rsid w:val="53321334"/>
    <w:rsid w:val="53334672"/>
    <w:rsid w:val="53417C4F"/>
    <w:rsid w:val="535D37B6"/>
    <w:rsid w:val="535E1192"/>
    <w:rsid w:val="53786380"/>
    <w:rsid w:val="538B4AA0"/>
    <w:rsid w:val="5402132C"/>
    <w:rsid w:val="5439351C"/>
    <w:rsid w:val="54397031"/>
    <w:rsid w:val="54BB6805"/>
    <w:rsid w:val="54C0685E"/>
    <w:rsid w:val="54C83ED2"/>
    <w:rsid w:val="54EA05EC"/>
    <w:rsid w:val="558913C9"/>
    <w:rsid w:val="55B72A74"/>
    <w:rsid w:val="56A94D40"/>
    <w:rsid w:val="56AE1131"/>
    <w:rsid w:val="56C25EB3"/>
    <w:rsid w:val="56E34C95"/>
    <w:rsid w:val="56E37D39"/>
    <w:rsid w:val="56E503B5"/>
    <w:rsid w:val="56FD0EDC"/>
    <w:rsid w:val="57153C05"/>
    <w:rsid w:val="57796E85"/>
    <w:rsid w:val="57925F41"/>
    <w:rsid w:val="57B41775"/>
    <w:rsid w:val="57C140F0"/>
    <w:rsid w:val="57C4270A"/>
    <w:rsid w:val="581A5A31"/>
    <w:rsid w:val="581D2C80"/>
    <w:rsid w:val="58233E43"/>
    <w:rsid w:val="583D3C1E"/>
    <w:rsid w:val="587A3CAA"/>
    <w:rsid w:val="58857C2C"/>
    <w:rsid w:val="58E22748"/>
    <w:rsid w:val="58E450DD"/>
    <w:rsid w:val="592F2F38"/>
    <w:rsid w:val="595E2262"/>
    <w:rsid w:val="59B456C1"/>
    <w:rsid w:val="5A400FC4"/>
    <w:rsid w:val="5A891416"/>
    <w:rsid w:val="5AED7255"/>
    <w:rsid w:val="5B532899"/>
    <w:rsid w:val="5B673E49"/>
    <w:rsid w:val="5C0F0A30"/>
    <w:rsid w:val="5C1628E6"/>
    <w:rsid w:val="5CD9013D"/>
    <w:rsid w:val="5D4677DF"/>
    <w:rsid w:val="5E1A2D35"/>
    <w:rsid w:val="5E2D43CF"/>
    <w:rsid w:val="5E3C5A1F"/>
    <w:rsid w:val="5E494CCB"/>
    <w:rsid w:val="5E4F02F8"/>
    <w:rsid w:val="5E6873A8"/>
    <w:rsid w:val="5E6F6376"/>
    <w:rsid w:val="5ED219FB"/>
    <w:rsid w:val="5EFA0362"/>
    <w:rsid w:val="5F453179"/>
    <w:rsid w:val="5FA35A83"/>
    <w:rsid w:val="5FA5382C"/>
    <w:rsid w:val="5FB00821"/>
    <w:rsid w:val="5FCA244B"/>
    <w:rsid w:val="5FD82FC9"/>
    <w:rsid w:val="601B3268"/>
    <w:rsid w:val="60215B58"/>
    <w:rsid w:val="602B2D48"/>
    <w:rsid w:val="606843E2"/>
    <w:rsid w:val="608E4884"/>
    <w:rsid w:val="60B53D0D"/>
    <w:rsid w:val="60B855EC"/>
    <w:rsid w:val="60BD03C1"/>
    <w:rsid w:val="61852AB1"/>
    <w:rsid w:val="61A10057"/>
    <w:rsid w:val="61B74835"/>
    <w:rsid w:val="62083567"/>
    <w:rsid w:val="62622083"/>
    <w:rsid w:val="62CC1A42"/>
    <w:rsid w:val="62E24A42"/>
    <w:rsid w:val="63100DD2"/>
    <w:rsid w:val="63187770"/>
    <w:rsid w:val="634873BD"/>
    <w:rsid w:val="63601CF6"/>
    <w:rsid w:val="637B4A8F"/>
    <w:rsid w:val="638B2122"/>
    <w:rsid w:val="63910A33"/>
    <w:rsid w:val="63A4075D"/>
    <w:rsid w:val="63BF40CF"/>
    <w:rsid w:val="63E34E69"/>
    <w:rsid w:val="641E7B28"/>
    <w:rsid w:val="647B3286"/>
    <w:rsid w:val="64DD45A9"/>
    <w:rsid w:val="651144B7"/>
    <w:rsid w:val="65307CE1"/>
    <w:rsid w:val="65881F66"/>
    <w:rsid w:val="65BA7261"/>
    <w:rsid w:val="65F31B68"/>
    <w:rsid w:val="65FD6115"/>
    <w:rsid w:val="661F6D01"/>
    <w:rsid w:val="66B45DCC"/>
    <w:rsid w:val="66B86DA2"/>
    <w:rsid w:val="672D7668"/>
    <w:rsid w:val="67637B8E"/>
    <w:rsid w:val="67AE58DF"/>
    <w:rsid w:val="67B35341"/>
    <w:rsid w:val="67C57A17"/>
    <w:rsid w:val="68535A8D"/>
    <w:rsid w:val="687662EF"/>
    <w:rsid w:val="687845CF"/>
    <w:rsid w:val="6891340D"/>
    <w:rsid w:val="689B51EF"/>
    <w:rsid w:val="69351646"/>
    <w:rsid w:val="69382A68"/>
    <w:rsid w:val="6965012E"/>
    <w:rsid w:val="69C974BD"/>
    <w:rsid w:val="6A286813"/>
    <w:rsid w:val="6A54245B"/>
    <w:rsid w:val="6A98689A"/>
    <w:rsid w:val="6ACA3ED2"/>
    <w:rsid w:val="6AE73CEB"/>
    <w:rsid w:val="6B013C71"/>
    <w:rsid w:val="6B383C91"/>
    <w:rsid w:val="6BC213D9"/>
    <w:rsid w:val="6C117E98"/>
    <w:rsid w:val="6C2219C6"/>
    <w:rsid w:val="6CA40BEE"/>
    <w:rsid w:val="6CCB4C52"/>
    <w:rsid w:val="6D0746E5"/>
    <w:rsid w:val="6D0C088C"/>
    <w:rsid w:val="6D6505D3"/>
    <w:rsid w:val="6DA75B86"/>
    <w:rsid w:val="6DDD4184"/>
    <w:rsid w:val="6DF10A80"/>
    <w:rsid w:val="6E0752E7"/>
    <w:rsid w:val="6E104B75"/>
    <w:rsid w:val="6E6F2A28"/>
    <w:rsid w:val="6E9B1464"/>
    <w:rsid w:val="6EA132C1"/>
    <w:rsid w:val="6EDF38D7"/>
    <w:rsid w:val="6F0A0755"/>
    <w:rsid w:val="6F1122B8"/>
    <w:rsid w:val="6FD33DD0"/>
    <w:rsid w:val="6FE81C99"/>
    <w:rsid w:val="701D5A2B"/>
    <w:rsid w:val="70265D17"/>
    <w:rsid w:val="70356824"/>
    <w:rsid w:val="7050657E"/>
    <w:rsid w:val="70792CDE"/>
    <w:rsid w:val="7084608D"/>
    <w:rsid w:val="70A15EC2"/>
    <w:rsid w:val="71214D98"/>
    <w:rsid w:val="712E72A6"/>
    <w:rsid w:val="71815650"/>
    <w:rsid w:val="7195060B"/>
    <w:rsid w:val="71AF07E0"/>
    <w:rsid w:val="71C22C06"/>
    <w:rsid w:val="71C626BD"/>
    <w:rsid w:val="720772AA"/>
    <w:rsid w:val="721730D2"/>
    <w:rsid w:val="72774968"/>
    <w:rsid w:val="73A909D0"/>
    <w:rsid w:val="73B27519"/>
    <w:rsid w:val="73BC452F"/>
    <w:rsid w:val="741E57E8"/>
    <w:rsid w:val="74321DDD"/>
    <w:rsid w:val="746D4031"/>
    <w:rsid w:val="74CC7DAE"/>
    <w:rsid w:val="74DA009D"/>
    <w:rsid w:val="74EF1F70"/>
    <w:rsid w:val="757D7EFF"/>
    <w:rsid w:val="75F102BE"/>
    <w:rsid w:val="75FC1E8A"/>
    <w:rsid w:val="76033D13"/>
    <w:rsid w:val="76165DDE"/>
    <w:rsid w:val="76243311"/>
    <w:rsid w:val="762B660E"/>
    <w:rsid w:val="76300715"/>
    <w:rsid w:val="76434E67"/>
    <w:rsid w:val="767A30B0"/>
    <w:rsid w:val="768E38A4"/>
    <w:rsid w:val="76AB27A8"/>
    <w:rsid w:val="77274B9C"/>
    <w:rsid w:val="77292226"/>
    <w:rsid w:val="775918E4"/>
    <w:rsid w:val="776E5A6E"/>
    <w:rsid w:val="7778549E"/>
    <w:rsid w:val="77936782"/>
    <w:rsid w:val="77A01F62"/>
    <w:rsid w:val="77AB4F76"/>
    <w:rsid w:val="77C03281"/>
    <w:rsid w:val="77D07E90"/>
    <w:rsid w:val="77D6065F"/>
    <w:rsid w:val="781E7834"/>
    <w:rsid w:val="786245DA"/>
    <w:rsid w:val="78BE0C35"/>
    <w:rsid w:val="78F436FF"/>
    <w:rsid w:val="79193870"/>
    <w:rsid w:val="795A6B35"/>
    <w:rsid w:val="79641FEA"/>
    <w:rsid w:val="79AC254D"/>
    <w:rsid w:val="79D34E95"/>
    <w:rsid w:val="79E92031"/>
    <w:rsid w:val="7A122603"/>
    <w:rsid w:val="7A583919"/>
    <w:rsid w:val="7A905A6A"/>
    <w:rsid w:val="7A9B7685"/>
    <w:rsid w:val="7AA71AFB"/>
    <w:rsid w:val="7AE96DEC"/>
    <w:rsid w:val="7B5E25A1"/>
    <w:rsid w:val="7BAD3869"/>
    <w:rsid w:val="7BBE7DD6"/>
    <w:rsid w:val="7BD40733"/>
    <w:rsid w:val="7C76019F"/>
    <w:rsid w:val="7C856888"/>
    <w:rsid w:val="7CAD69B1"/>
    <w:rsid w:val="7CCB552B"/>
    <w:rsid w:val="7D5165E8"/>
    <w:rsid w:val="7D533561"/>
    <w:rsid w:val="7D5F2B9F"/>
    <w:rsid w:val="7D8124F8"/>
    <w:rsid w:val="7DBC5D88"/>
    <w:rsid w:val="7E636455"/>
    <w:rsid w:val="7E862A14"/>
    <w:rsid w:val="7E982403"/>
    <w:rsid w:val="7ED2267C"/>
    <w:rsid w:val="7ED31AC8"/>
    <w:rsid w:val="7EE70BF4"/>
    <w:rsid w:val="7F16400D"/>
    <w:rsid w:val="7FBD55E5"/>
    <w:rsid w:val="7FE4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2022-02-21T07:54:00Z</dcterms:created>
  <dc:creator>从宝恒</dc:creator>
  <cp:lastModifiedBy>从宝恒</cp:lastModifiedBy>
  <dcterms:modified xsi:type="dcterms:W3CDTF">2022-02-21T08:07:00Z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